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178" w14:textId="48B34B1B" w:rsidR="00F124FB" w:rsidRDefault="00000000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Ochrana životního prostředí je pro naši </w:t>
      </w:r>
      <w:r w:rsidR="00ED3CE5">
        <w:rPr>
          <w:rFonts w:asciiTheme="minorHAnsi" w:hAnsiTheme="minorHAnsi" w:cstheme="minorHAnsi"/>
          <w:b/>
          <w:bCs/>
          <w:u w:val="single"/>
        </w:rPr>
        <w:t>obec</w:t>
      </w:r>
      <w:r>
        <w:rPr>
          <w:rFonts w:asciiTheme="minorHAnsi" w:hAnsiTheme="minorHAnsi" w:cstheme="minorHAnsi"/>
          <w:b/>
          <w:bCs/>
          <w:u w:val="single"/>
        </w:rPr>
        <w:t xml:space="preserve"> prioritou</w:t>
      </w:r>
    </w:p>
    <w:p w14:paraId="283FB6A0" w14:textId="77777777" w:rsidR="00F124FB" w:rsidRDefault="00F124F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6D27B" w14:textId="4C95AF98" w:rsidR="006561A9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Elektrospotřebiče jsou běžnou součástí našeho každodenního života a jen těžko si jej bez nich dokážeme představit. Elektroodpad je tak v současné době jedním z nejrychleji rostoucích druhů odpadu. Pro zajištění sběru a recyklace již vysloužilých elektrozařízení si naše </w:t>
      </w:r>
      <w:bookmarkStart w:id="0" w:name="_Hlk96506340"/>
      <w:r w:rsidRPr="00B9086C">
        <w:rPr>
          <w:rFonts w:asciiTheme="minorHAnsi" w:hAnsiTheme="minorHAnsi" w:cstheme="minorHAnsi"/>
          <w:b/>
          <w:bCs/>
          <w:sz w:val="22"/>
          <w:szCs w:val="22"/>
        </w:rPr>
        <w:t>obec</w:t>
      </w:r>
      <w:bookmarkEnd w:id="0"/>
      <w:r w:rsidR="00B9086C">
        <w:rPr>
          <w:rFonts w:asciiTheme="minorHAnsi" w:hAnsiTheme="minorHAnsi" w:cstheme="minorHAnsi"/>
          <w:b/>
          <w:bCs/>
          <w:sz w:val="22"/>
          <w:szCs w:val="22"/>
        </w:rPr>
        <w:t xml:space="preserve"> Tymákov </w:t>
      </w:r>
      <w:r>
        <w:rPr>
          <w:rFonts w:asciiTheme="minorHAnsi" w:hAnsiTheme="minorHAnsi" w:cstheme="minorHAnsi"/>
          <w:b/>
          <w:bCs/>
          <w:sz w:val="22"/>
          <w:szCs w:val="22"/>
        </w:rPr>
        <w:t>vybrala ke spolupráci kolektivní systém ASEKOL. Elektroodpad obsahuje řadu zdraví škodlivých materiálů a díky zajištění ekologické recyklace vysloužilých elektrozařízení přispíváme k ochraně životního prostředí. Recyklace navíc umožňuje opětovné materiálové využití a patří mezi základní principy cirkulární ekonomky. Míra opětovného materiálového využití je velmi vysoká a dle jednotlivých typů výrobků dosahuje až 95 %.</w:t>
      </w:r>
    </w:p>
    <w:p w14:paraId="598B01F5" w14:textId="77777777" w:rsidR="00F124FB" w:rsidRDefault="00F124F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D6F57C" w14:textId="420DE9E4" w:rsidR="00F124FB" w:rsidRDefault="0000000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Jakým rozsahem naše </w:t>
      </w:r>
      <w:r w:rsidR="00B9086C">
        <w:rPr>
          <w:rFonts w:asciiTheme="minorHAnsi" w:hAnsiTheme="minorHAnsi" w:cstheme="minorHAnsi"/>
          <w:b/>
          <w:bCs/>
          <w:sz w:val="22"/>
          <w:szCs w:val="22"/>
        </w:rPr>
        <w:t>obec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konkrétně přispěla k úsporám na životním prostředí, se dozvídáme z environmentálního vyúčtování zpracovaného společností ASEKOL. Díky zodpovědné recyklaci vznikají úspory vyčíslené např. na spotřebu elektrické energie, primární suroviny, vodu, okyselování prostředí a produkci skleníkových plynů.</w:t>
      </w:r>
    </w:p>
    <w:p w14:paraId="05947BF4" w14:textId="77777777" w:rsidR="00F124FB" w:rsidRDefault="00F124F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63F451" w14:textId="77777777" w:rsidR="00F124FB" w:rsidRDefault="00F124F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A09581" w14:textId="0E605B2A" w:rsidR="00F124FB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Certifikát environmentálního vyúčtování vyčísluje přínos naší </w:t>
      </w:r>
      <w:r w:rsidR="00B9086C">
        <w:rPr>
          <w:rFonts w:asciiTheme="minorHAnsi" w:hAnsiTheme="minorHAnsi" w:cstheme="minorHAnsi"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t xml:space="preserve"> k ochraně přírody v roce 2024. Vyplývá z něj, že díky množství námi odevzdaných elektrozařízení jsme uspořili </w:t>
      </w:r>
      <w:r w:rsidR="00ED3CE5" w:rsidRPr="00ED3CE5">
        <w:rPr>
          <w:rFonts w:asciiTheme="minorHAnsi" w:hAnsiTheme="minorHAnsi" w:cstheme="minorHAnsi"/>
          <w:i/>
          <w:iCs/>
          <w:sz w:val="22"/>
          <w:szCs w:val="22"/>
        </w:rPr>
        <w:t xml:space="preserve">15,73 </w:t>
      </w:r>
      <w:proofErr w:type="spellStart"/>
      <w:r>
        <w:rPr>
          <w:rFonts w:asciiTheme="minorHAnsi" w:hAnsiTheme="minorHAnsi" w:cstheme="minorHAnsi"/>
          <w:sz w:val="22"/>
          <w:szCs w:val="22"/>
        </w:rPr>
        <w:t>MWh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elektřiny, </w:t>
      </w:r>
      <w:r w:rsidR="00ED3CE5">
        <w:rPr>
          <w:rFonts w:asciiTheme="minorHAnsi" w:hAnsiTheme="minorHAnsi" w:cstheme="minorHAnsi"/>
          <w:i/>
          <w:iCs/>
          <w:sz w:val="22"/>
          <w:szCs w:val="22"/>
        </w:rPr>
        <w:t>1277,57</w:t>
      </w:r>
      <w:r>
        <w:rPr>
          <w:rFonts w:asciiTheme="minorHAnsi" w:hAnsiTheme="minorHAnsi" w:cstheme="minorHAnsi"/>
          <w:sz w:val="22"/>
          <w:szCs w:val="22"/>
        </w:rPr>
        <w:t xml:space="preserve"> litrů ropy, </w:t>
      </w:r>
      <w:r w:rsidR="00ED3CE5">
        <w:rPr>
          <w:rFonts w:asciiTheme="minorHAnsi" w:hAnsiTheme="minorHAnsi" w:cstheme="minorHAnsi"/>
          <w:i/>
          <w:iCs/>
          <w:sz w:val="22"/>
          <w:szCs w:val="22"/>
        </w:rPr>
        <w:t>411,91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vody a </w:t>
      </w:r>
      <w:r w:rsidR="00ED3CE5">
        <w:rPr>
          <w:rFonts w:asciiTheme="minorHAnsi" w:hAnsiTheme="minorHAnsi" w:cstheme="minorHAnsi"/>
          <w:i/>
          <w:iCs/>
          <w:sz w:val="22"/>
          <w:szCs w:val="22"/>
        </w:rPr>
        <w:t>4,92</w:t>
      </w:r>
      <w:r>
        <w:rPr>
          <w:rFonts w:asciiTheme="minorHAnsi" w:hAnsiTheme="minorHAnsi" w:cstheme="minorHAnsi"/>
          <w:sz w:val="22"/>
          <w:szCs w:val="22"/>
        </w:rPr>
        <w:t xml:space="preserve"> tun primárních surovin. Navíc jsme snížili emise skleníkových plynů CO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ekv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o </w:t>
      </w:r>
      <w:r w:rsidR="00ED3CE5">
        <w:rPr>
          <w:rFonts w:asciiTheme="minorHAnsi" w:hAnsiTheme="minorHAnsi" w:cstheme="minorHAnsi"/>
          <w:i/>
          <w:iCs/>
          <w:sz w:val="22"/>
          <w:szCs w:val="22"/>
        </w:rPr>
        <w:t>17,19</w:t>
      </w:r>
      <w:r>
        <w:rPr>
          <w:rFonts w:asciiTheme="minorHAnsi" w:hAnsiTheme="minorHAnsi" w:cstheme="minorHAnsi"/>
          <w:sz w:val="22"/>
          <w:szCs w:val="22"/>
        </w:rPr>
        <w:t xml:space="preserve"> tun, a produkci SO2 </w:t>
      </w:r>
      <w:proofErr w:type="spellStart"/>
      <w:r>
        <w:rPr>
          <w:rFonts w:asciiTheme="minorHAnsi" w:hAnsiTheme="minorHAnsi" w:cstheme="minorHAnsi"/>
          <w:sz w:val="22"/>
          <w:szCs w:val="22"/>
        </w:rPr>
        <w:t>ekv</w:t>
      </w:r>
      <w:proofErr w:type="spellEnd"/>
      <w:r>
        <w:rPr>
          <w:rFonts w:asciiTheme="minorHAnsi" w:hAnsiTheme="minorHAnsi" w:cstheme="minorHAnsi"/>
          <w:sz w:val="22"/>
          <w:szCs w:val="22"/>
        </w:rPr>
        <w:t>. (který zapříčiňuje okyselování prostředí)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ED3CE5">
        <w:rPr>
          <w:rFonts w:asciiTheme="minorHAnsi" w:hAnsiTheme="minorHAnsi" w:cstheme="minorHAnsi"/>
          <w:i/>
          <w:iCs/>
          <w:sz w:val="22"/>
          <w:szCs w:val="22"/>
        </w:rPr>
        <w:t>357,89</w:t>
      </w:r>
      <w:r>
        <w:rPr>
          <w:rFonts w:asciiTheme="minorHAnsi" w:hAnsiTheme="minorHAnsi" w:cstheme="minorHAnsi"/>
          <w:sz w:val="22"/>
          <w:szCs w:val="22"/>
        </w:rPr>
        <w:t xml:space="preserve"> kg.</w:t>
      </w:r>
    </w:p>
    <w:p w14:paraId="589433AE" w14:textId="77777777" w:rsidR="00F124FB" w:rsidRDefault="00F124F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8F6E6E" w14:textId="77777777" w:rsidR="00F124FB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Každý kus vytříděného elektra se počítá, což dokazuje příklad 100 vytříděných notebooků, které uspoří 10 </w:t>
      </w:r>
      <w:proofErr w:type="spellStart"/>
      <w:r>
        <w:rPr>
          <w:rFonts w:asciiTheme="minorHAnsi" w:hAnsiTheme="minorHAnsi" w:cstheme="minorHAnsi"/>
          <w:sz w:val="22"/>
          <w:szCs w:val="22"/>
        </w:rPr>
        <w:t>MWh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elektřiny. Takové množství odpovídá 3leté spotřebě elektřiny rodiny žijící ve standardním bytu. Za 100 kg vytříděných elektrospotřebičů se ušetří takové množství ropy, které by stačilo na výrobu benzínu pro cestu z Prahy do Paříže. Děkujeme všem, kteří pečlivě třídí odpad a přispívají tak k ochraně životního prostředí a trvalé udržitelnosti.</w:t>
      </w:r>
    </w:p>
    <w:p w14:paraId="418C5218" w14:textId="77777777" w:rsidR="00F124FB" w:rsidRDefault="00F124F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363E48" w14:textId="77777777" w:rsidR="00F124FB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Environmentální vyúčtování je vypočítáváno pomocí studie životního cyklu výrobku (tzv. LCA –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Life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Cycle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), která vypovídá o dopadech výroby a recyklace jednotlivých elektrozařízení na životní prostředí. Studie zohledňuje všech 6 skupin elektrospotřebičů, jejichž zpětný odběr kolektivní systém ASEKOL zajišťuje.</w:t>
      </w:r>
    </w:p>
    <w:p w14:paraId="1F0028A6" w14:textId="77777777" w:rsidR="00F124FB" w:rsidRDefault="00F124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124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AF1E" w14:textId="77777777" w:rsidR="00235738" w:rsidRDefault="00235738">
      <w:r>
        <w:separator/>
      </w:r>
    </w:p>
  </w:endnote>
  <w:endnote w:type="continuationSeparator" w:id="0">
    <w:p w14:paraId="160B3380" w14:textId="77777777" w:rsidR="00235738" w:rsidRDefault="002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B2FF" w14:textId="77777777" w:rsidR="00235738" w:rsidRDefault="00235738">
      <w:r>
        <w:separator/>
      </w:r>
    </w:p>
  </w:footnote>
  <w:footnote w:type="continuationSeparator" w:id="0">
    <w:p w14:paraId="1093EB2A" w14:textId="77777777" w:rsidR="00235738" w:rsidRDefault="0023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FB"/>
    <w:rsid w:val="001C1DEA"/>
    <w:rsid w:val="00235738"/>
    <w:rsid w:val="003A65E1"/>
    <w:rsid w:val="006561A9"/>
    <w:rsid w:val="00712FB2"/>
    <w:rsid w:val="00B9086C"/>
    <w:rsid w:val="00BE4E8E"/>
    <w:rsid w:val="00EC354E"/>
    <w:rsid w:val="00ED3CE5"/>
    <w:rsid w:val="00F1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59A"/>
  <w15:docId w15:val="{DCBBB034-6F09-4166-A09D-3686911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pPr>
      <w:widowControl/>
      <w:suppressAutoHyphens w:val="0"/>
      <w:jc w:val="center"/>
    </w:pPr>
    <w:rPr>
      <w:rFonts w:ascii="Arial" w:eastAsia="Times New Roman" w:hAnsi="Arial" w:cs="Arial"/>
      <w:b/>
      <w:bCs/>
      <w:sz w:val="32"/>
      <w:lang w:eastAsia="cs-CZ" w:bidi="ar-SA"/>
    </w:rPr>
  </w:style>
  <w:style w:type="paragraph" w:styleId="Zkladntext">
    <w:name w:val="Body Text"/>
    <w:basedOn w:val="Normln"/>
    <w:link w:val="ZkladntextChar"/>
    <w:pPr>
      <w:spacing w:after="120"/>
    </w:pPr>
    <w:rPr>
      <w:kern w:val="1"/>
    </w:rPr>
  </w:style>
  <w:style w:type="paragraph" w:styleId="Textbubliny">
    <w:name w:val="Balloon Text"/>
    <w:basedOn w:val="Normln"/>
    <w:link w:val="TextbublinyChar"/>
    <w:semiHidden/>
    <w:rPr>
      <w:rFonts w:ascii="Segoe UI" w:hAnsi="Segoe UI"/>
      <w:sz w:val="18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Textpoznpodarou">
    <w:name w:val="footnote text"/>
    <w:link w:val="TextpoznpodarouChar"/>
    <w:semiHidden/>
    <w:pPr>
      <w:spacing w:after="0" w:line="240" w:lineRule="auto"/>
    </w:pPr>
    <w:rPr>
      <w:sz w:val="20"/>
      <w:szCs w:val="20"/>
    </w:rPr>
  </w:style>
  <w:style w:type="paragraph" w:styleId="Textvysvtlivek">
    <w:name w:val="endnote text"/>
    <w:link w:val="TextvysvtlivekChar"/>
    <w:semiHidden/>
    <w:pPr>
      <w:spacing w:after="0" w:line="240" w:lineRule="auto"/>
    </w:pPr>
    <w:rPr>
      <w:sz w:val="20"/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E9B18D8EC364890B7E5ACA3C80234" ma:contentTypeVersion="18" ma:contentTypeDescription="Create a new document." ma:contentTypeScope="" ma:versionID="7e27dc8b2e1770a7e4b1b81f3a811aab">
  <xsd:schema xmlns:xsd="http://www.w3.org/2001/XMLSchema" xmlns:xs="http://www.w3.org/2001/XMLSchema" xmlns:p="http://schemas.microsoft.com/office/2006/metadata/properties" xmlns:ns2="543323b7-d62f-4d47-ba40-3ddd29c4b25d" xmlns:ns3="3236b86f-095e-4fa6-87b2-8a7269dddb00" targetNamespace="http://schemas.microsoft.com/office/2006/metadata/properties" ma:root="true" ma:fieldsID="c408d1d1de4c8ad2b1dd13fb0887c741" ns2:_="" ns3:_="">
    <xsd:import namespace="543323b7-d62f-4d47-ba40-3ddd29c4b25d"/>
    <xsd:import namespace="3236b86f-095e-4fa6-87b2-8a7269dddb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23b7-d62f-4d47-ba40-3ddd29c4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543ed4-0686-4c92-85fc-27035fec10a4}" ma:internalName="TaxCatchAll" ma:showField="CatchAllData" ma:web="543323b7-d62f-4d47-ba40-3ddd29c4b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b86f-095e-4fa6-87b2-8a7269ddd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458f4-b9b0-4ffa-b947-e9213be38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323b7-d62f-4d47-ba40-3ddd29c4b25d" xsi:nil="true"/>
    <lcf76f155ced4ddcb4097134ff3c332f xmlns="3236b86f-095e-4fa6-87b2-8a7269dddb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A3D6-65D2-49D2-A15D-AE897294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323b7-d62f-4d47-ba40-3ddd29c4b25d"/>
    <ds:schemaRef ds:uri="3236b86f-095e-4fa6-87b2-8a7269ddd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6D8B8-29F7-4F44-8D89-86806169D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AF699-E940-408D-BC2F-1647AB6DE6C0}">
  <ds:schemaRefs>
    <ds:schemaRef ds:uri="http://schemas.microsoft.com/office/2006/metadata/properties"/>
    <ds:schemaRef ds:uri="http://schemas.microsoft.com/office/infopath/2007/PartnerControls"/>
    <ds:schemaRef ds:uri="543323b7-d62f-4d47-ba40-3ddd29c4b25d"/>
    <ds:schemaRef ds:uri="3236b86f-095e-4fa6-87b2-8a7269dddb00"/>
  </ds:schemaRefs>
</ds:datastoreItem>
</file>

<file path=customXml/itemProps4.xml><?xml version="1.0" encoding="utf-8"?>
<ds:datastoreItem xmlns:ds="http://schemas.openxmlformats.org/officeDocument/2006/customXml" ds:itemID="{358DB827-DE8E-45E3-AC1E-F54031C7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Němcová</dc:creator>
  <cp:lastModifiedBy>Administrativa</cp:lastModifiedBy>
  <cp:revision>6</cp:revision>
  <dcterms:created xsi:type="dcterms:W3CDTF">2025-03-24T14:03:00Z</dcterms:created>
  <dcterms:modified xsi:type="dcterms:W3CDTF">2025-03-24T14:27:00Z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hejclova@ASEKOL.CZ</vt:lpwstr>
  </property>
  <property fmtid="{D5CDD505-2E9C-101B-9397-08002B2CF9AE}" pid="5" name="MSIP_Label_bf08bede-62ef-4e9c-8811-d36c1b1f7687_SetDate">
    <vt:lpwstr>2020-06-22T13:31:17.4849594Z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68dbd5fe-f653-4d78-816c-9827656b57af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0x010100BF7E9B18D8EC364890B7E5ACA3C80234</vt:lpwstr>
  </property>
</Properties>
</file>